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0B" w:rsidRPr="003F3D0B" w:rsidRDefault="003F3D0B" w:rsidP="003F3D0B">
      <w:pPr>
        <w:ind w:right="-720"/>
        <w:rPr>
          <w:rFonts w:ascii="Arial" w:hAnsi="Arial" w:cs="0 Lotus" w:hint="cs"/>
          <w:b/>
          <w:bCs/>
          <w:sz w:val="28"/>
          <w:szCs w:val="28"/>
          <w:rtl/>
        </w:rPr>
      </w:pPr>
      <w:r w:rsidRPr="003F3D0B">
        <w:rPr>
          <w:rFonts w:ascii="Arial" w:hAnsi="Arial" w:cs="0 Lotus" w:hint="cs"/>
          <w:b/>
          <w:bCs/>
          <w:sz w:val="28"/>
          <w:szCs w:val="28"/>
          <w:rtl/>
        </w:rPr>
        <w:t>آدرس دسترسی آنلاین به منابع مورد استفاده:</w:t>
      </w:r>
    </w:p>
    <w:p w:rsidR="00CA70EA" w:rsidRPr="003F3D0B" w:rsidRDefault="003F3D0B" w:rsidP="003F3D0B">
      <w:pPr>
        <w:ind w:right="-720"/>
        <w:rPr>
          <w:rFonts w:hint="cs"/>
          <w:sz w:val="28"/>
          <w:szCs w:val="28"/>
          <w:rtl/>
        </w:rPr>
      </w:pPr>
      <w:r w:rsidRPr="003F3D0B">
        <w:rPr>
          <w:rFonts w:ascii="Arial" w:hAnsi="Arial" w:cs="0 Lotus" w:hint="cs"/>
          <w:b/>
          <w:bCs/>
          <w:sz w:val="28"/>
          <w:szCs w:val="28"/>
          <w:rtl/>
        </w:rPr>
        <w:t xml:space="preserve">مقاله نحوه </w:t>
      </w:r>
      <w:r w:rsidRPr="003F3D0B">
        <w:rPr>
          <w:rFonts w:ascii="Arial" w:hAnsi="Arial" w:cs="0 Lotus"/>
          <w:b/>
          <w:bCs/>
          <w:sz w:val="28"/>
          <w:szCs w:val="28"/>
          <w:rtl/>
        </w:rPr>
        <w:t>پ</w:t>
      </w:r>
      <w:r w:rsidRPr="003F3D0B">
        <w:rPr>
          <w:rFonts w:ascii="Arial" w:hAnsi="Arial" w:cs="0 Lotus" w:hint="cs"/>
          <w:b/>
          <w:bCs/>
          <w:sz w:val="28"/>
          <w:szCs w:val="28"/>
          <w:rtl/>
        </w:rPr>
        <w:t>ي</w:t>
      </w:r>
      <w:r w:rsidRPr="003F3D0B">
        <w:rPr>
          <w:rFonts w:ascii="Arial" w:hAnsi="Arial" w:cs="0 Lotus"/>
          <w:b/>
          <w:bCs/>
          <w:sz w:val="28"/>
          <w:szCs w:val="28"/>
          <w:rtl/>
        </w:rPr>
        <w:t>شگ</w:t>
      </w:r>
      <w:r w:rsidRPr="003F3D0B">
        <w:rPr>
          <w:rFonts w:ascii="Arial" w:hAnsi="Arial" w:cs="0 Lotus" w:hint="cs"/>
          <w:b/>
          <w:bCs/>
          <w:sz w:val="28"/>
          <w:szCs w:val="28"/>
          <w:rtl/>
        </w:rPr>
        <w:t>ي</w:t>
      </w:r>
      <w:r w:rsidRPr="003F3D0B">
        <w:rPr>
          <w:rFonts w:ascii="Arial" w:hAnsi="Arial" w:cs="0 Lotus"/>
          <w:b/>
          <w:bCs/>
          <w:sz w:val="28"/>
          <w:szCs w:val="28"/>
          <w:rtl/>
        </w:rPr>
        <w:t>ری</w:t>
      </w:r>
      <w:r w:rsidRPr="003F3D0B">
        <w:rPr>
          <w:rFonts w:ascii="Arial" w:hAnsi="Arial" w:cs="0 Lotus" w:hint="cs"/>
          <w:b/>
          <w:bCs/>
          <w:sz w:val="28"/>
          <w:szCs w:val="28"/>
          <w:rtl/>
        </w:rPr>
        <w:t xml:space="preserve"> از</w:t>
      </w:r>
      <w:r w:rsidRPr="003F3D0B">
        <w:rPr>
          <w:rFonts w:ascii="Arial" w:hAnsi="Arial" w:cs="0 Lotus"/>
          <w:b/>
          <w:bCs/>
          <w:sz w:val="28"/>
          <w:szCs w:val="28"/>
          <w:rtl/>
        </w:rPr>
        <w:t>خونر</w:t>
      </w:r>
      <w:r w:rsidRPr="003F3D0B">
        <w:rPr>
          <w:rFonts w:ascii="Arial" w:hAnsi="Arial" w:cs="0 Lotus" w:hint="cs"/>
          <w:b/>
          <w:bCs/>
          <w:sz w:val="28"/>
          <w:szCs w:val="28"/>
          <w:rtl/>
        </w:rPr>
        <w:t>ي</w:t>
      </w:r>
      <w:r w:rsidRPr="003F3D0B">
        <w:rPr>
          <w:rFonts w:ascii="Arial" w:hAnsi="Arial" w:cs="0 Lotus"/>
          <w:b/>
          <w:bCs/>
          <w:sz w:val="28"/>
          <w:szCs w:val="28"/>
          <w:rtl/>
        </w:rPr>
        <w:t>زی</w:t>
      </w:r>
      <w:r w:rsidRPr="003F3D0B">
        <w:rPr>
          <w:rFonts w:ascii="Arial" w:hAnsi="Arial" w:cs="0 Lotus" w:hint="cs"/>
          <w:b/>
          <w:bCs/>
          <w:sz w:val="28"/>
          <w:szCs w:val="28"/>
          <w:rtl/>
        </w:rPr>
        <w:t xml:space="preserve"> </w:t>
      </w:r>
      <w:r w:rsidRPr="003F3D0B">
        <w:rPr>
          <w:rFonts w:ascii="Arial" w:hAnsi="Arial" w:cs="0 Lotus"/>
          <w:b/>
          <w:bCs/>
          <w:sz w:val="28"/>
          <w:szCs w:val="28"/>
          <w:rtl/>
        </w:rPr>
        <w:t>پس از زا</w:t>
      </w:r>
      <w:r w:rsidRPr="003F3D0B">
        <w:rPr>
          <w:rFonts w:ascii="Arial" w:hAnsi="Arial" w:cs="0 Lotus" w:hint="cs"/>
          <w:b/>
          <w:bCs/>
          <w:sz w:val="28"/>
          <w:szCs w:val="28"/>
          <w:rtl/>
        </w:rPr>
        <w:t>ي</w:t>
      </w:r>
      <w:r w:rsidRPr="003F3D0B">
        <w:rPr>
          <w:rFonts w:ascii="Arial" w:hAnsi="Arial" w:cs="0 Lotus"/>
          <w:b/>
          <w:bCs/>
          <w:sz w:val="28"/>
          <w:szCs w:val="28"/>
          <w:rtl/>
        </w:rPr>
        <w:t>مان</w:t>
      </w:r>
      <w:r w:rsidRPr="003F3D0B">
        <w:rPr>
          <w:rFonts w:cs="Nazanin" w:hint="cs"/>
          <w:b/>
          <w:bCs/>
          <w:sz w:val="28"/>
          <w:szCs w:val="28"/>
          <w:rtl/>
        </w:rPr>
        <w:t xml:space="preserve"> چاپ شده درمجله علمی پژوهشی دانشکده پزشکی دانشگاه علوم پزشکی وخدمات بهداشت درمانی تبریز</w:t>
      </w:r>
      <w:r w:rsidRPr="003F3D0B">
        <w:rPr>
          <w:rFonts w:ascii="Courier New" w:hAnsi="Courier New" w:cs="Courier New"/>
          <w:b/>
          <w:bCs/>
          <w:sz w:val="28"/>
          <w:szCs w:val="28"/>
          <w:rtl/>
        </w:rPr>
        <w:t>،</w:t>
      </w:r>
      <w:r w:rsidRPr="003F3D0B">
        <w:rPr>
          <w:rFonts w:cs="Nazanin" w:hint="cs"/>
          <w:b/>
          <w:bCs/>
          <w:sz w:val="28"/>
          <w:szCs w:val="28"/>
          <w:rtl/>
        </w:rPr>
        <w:t xml:space="preserve"> تابستان 87.</w:t>
      </w:r>
      <w:r w:rsidRPr="003F3D0B">
        <w:rPr>
          <w:sz w:val="28"/>
          <w:szCs w:val="28"/>
        </w:rPr>
        <w:t xml:space="preserve"> </w:t>
      </w:r>
      <w:r w:rsidRPr="003F3D0B">
        <w:rPr>
          <w:sz w:val="28"/>
          <w:szCs w:val="28"/>
        </w:rPr>
        <w:fldChar w:fldCharType="begin"/>
      </w:r>
      <w:r w:rsidRPr="003F3D0B">
        <w:rPr>
          <w:sz w:val="28"/>
          <w:szCs w:val="28"/>
        </w:rPr>
        <w:instrText>HYPERLINK "http://majalleh.tbzmed.ac.ir/common/files_pdf/20091239355.pdf"</w:instrText>
      </w:r>
      <w:r w:rsidRPr="003F3D0B">
        <w:rPr>
          <w:sz w:val="28"/>
          <w:szCs w:val="28"/>
        </w:rPr>
        <w:fldChar w:fldCharType="separate"/>
      </w:r>
      <w:r w:rsidRPr="003F3D0B">
        <w:rPr>
          <w:rStyle w:val="Hyperlink"/>
          <w:sz w:val="28"/>
          <w:szCs w:val="28"/>
        </w:rPr>
        <w:t>http://majalleh.tbzmed.ac.ir/common/files_pdf/20091239355.pdf</w:t>
      </w:r>
      <w:r w:rsidRPr="003F3D0B">
        <w:rPr>
          <w:sz w:val="28"/>
          <w:szCs w:val="28"/>
        </w:rPr>
        <w:fldChar w:fldCharType="end"/>
      </w:r>
    </w:p>
    <w:p w:rsidR="00551E42" w:rsidRPr="003F3D0B" w:rsidRDefault="00551E42">
      <w:pPr>
        <w:rPr>
          <w:sz w:val="28"/>
          <w:szCs w:val="28"/>
        </w:rPr>
      </w:pPr>
    </w:p>
    <w:p w:rsidR="00551E42" w:rsidRPr="003F3D0B" w:rsidRDefault="00551E42" w:rsidP="003F3D0B">
      <w:pPr>
        <w:bidi w:val="0"/>
        <w:rPr>
          <w:sz w:val="28"/>
          <w:szCs w:val="28"/>
        </w:rPr>
      </w:pPr>
      <w:r w:rsidRPr="003F3D0B">
        <w:rPr>
          <w:rFonts w:ascii="Tahoma" w:hAnsi="Tahoma" w:cs="Tahoma"/>
          <w:b/>
          <w:bCs/>
          <w:sz w:val="28"/>
          <w:szCs w:val="28"/>
        </w:rPr>
        <w:t xml:space="preserve">Standards </w:t>
      </w:r>
      <w:proofErr w:type="gramStart"/>
      <w:r w:rsidRPr="003F3D0B">
        <w:rPr>
          <w:rFonts w:ascii="Tahoma" w:hAnsi="Tahoma" w:cs="Tahoma"/>
          <w:b/>
          <w:bCs/>
          <w:sz w:val="28"/>
          <w:szCs w:val="28"/>
        </w:rPr>
        <w:t>Of</w:t>
      </w:r>
      <w:proofErr w:type="gramEnd"/>
      <w:r w:rsidRPr="003F3D0B">
        <w:rPr>
          <w:rFonts w:ascii="Tahoma" w:hAnsi="Tahoma" w:cs="Tahoma"/>
          <w:b/>
          <w:bCs/>
          <w:sz w:val="28"/>
          <w:szCs w:val="28"/>
        </w:rPr>
        <w:t xml:space="preserve"> Midwifery Practice For Safe Motherhood Volume 1-4, Vol. 01/04/2007</w:t>
      </w:r>
      <w:r w:rsidRPr="003F3D0B">
        <w:rPr>
          <w:rFonts w:ascii="Tahoma" w:hAnsi="Tahoma" w:cs="Tahoma"/>
          <w:sz w:val="28"/>
          <w:szCs w:val="28"/>
        </w:rPr>
        <w:t xml:space="preserve"> </w:t>
      </w:r>
      <w:r w:rsidRPr="003F3D0B">
        <w:rPr>
          <w:rFonts w:ascii="Tahoma" w:hAnsi="Tahoma" w:cs="Tahoma"/>
          <w:sz w:val="28"/>
          <w:szCs w:val="28"/>
        </w:rPr>
        <w:br/>
        <w:t>Published by WHO</w:t>
      </w:r>
    </w:p>
    <w:p w:rsidR="00551E42" w:rsidRPr="003F3D0B" w:rsidRDefault="00551E42" w:rsidP="003F3D0B">
      <w:pPr>
        <w:bidi w:val="0"/>
        <w:rPr>
          <w:sz w:val="28"/>
          <w:szCs w:val="28"/>
          <w:rtl/>
        </w:rPr>
      </w:pPr>
      <w:r w:rsidRPr="003F3D0B">
        <w:rPr>
          <w:sz w:val="28"/>
          <w:szCs w:val="28"/>
        </w:rPr>
        <w:t>http://lnweb90.worldbank.org/ext/epic.nsf/ImportDocs/6F092B9433CF22F28525733D0064342F?opendocument&amp;query=ID</w:t>
      </w:r>
    </w:p>
    <w:sectPr w:rsidR="00551E42" w:rsidRPr="003F3D0B" w:rsidSect="00273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0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1107"/>
    <w:rsid w:val="00221107"/>
    <w:rsid w:val="0027316E"/>
    <w:rsid w:val="003F3D0B"/>
    <w:rsid w:val="00551E42"/>
    <w:rsid w:val="007A0236"/>
    <w:rsid w:val="00872A96"/>
    <w:rsid w:val="00CA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hamkaran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2002-01-03T01:20:00Z</dcterms:created>
  <dcterms:modified xsi:type="dcterms:W3CDTF">2002-01-01T21:31:00Z</dcterms:modified>
</cp:coreProperties>
</file>